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8B90" w14:textId="77777777" w:rsidR="004620C8" w:rsidRPr="00944F7C" w:rsidRDefault="00000000" w:rsidP="00944F7C">
      <w:pPr>
        <w:spacing w:line="276" w:lineRule="auto"/>
        <w:jc w:val="center"/>
        <w:rPr>
          <w:rFonts w:ascii="Times New Roman" w:hAnsi="Times New Roman" w:cs="Times New Roman"/>
          <w:color w:val="002060"/>
          <w:sz w:val="40"/>
          <w:szCs w:val="40"/>
        </w:rPr>
      </w:pPr>
      <w:r w:rsidRPr="00944F7C">
        <w:rPr>
          <w:rFonts w:ascii="Times New Roman" w:hAnsi="Times New Roman" w:cs="Times New Roman"/>
          <w:b/>
          <w:bCs/>
          <w:color w:val="002060"/>
          <w:sz w:val="40"/>
          <w:szCs w:val="40"/>
        </w:rPr>
        <w:t>Neural Correlates of Visual Balance in Abstract Expressionist Painting</w:t>
      </w:r>
    </w:p>
    <w:p w14:paraId="2D26F40C" w14:textId="23565195"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b/>
          <w:bCs/>
          <w:color w:val="000000" w:themeColor="text1"/>
          <w:sz w:val="20"/>
          <w:szCs w:val="20"/>
        </w:rPr>
        <w:t>Maya Thornton</w:t>
      </w:r>
      <w:r w:rsidR="004B064C">
        <w:rPr>
          <w:rFonts w:ascii="Times New Roman" w:hAnsi="Times New Roman" w:cs="Times New Roman"/>
          <w:b/>
          <w:bCs/>
          <w:color w:val="000000" w:themeColor="text1"/>
          <w:sz w:val="20"/>
          <w:szCs w:val="20"/>
        </w:rPr>
        <w:t>, Sravani Pidipalli</w:t>
      </w:r>
    </w:p>
    <w:p w14:paraId="4A6D36F1" w14:textId="5D55154F" w:rsidR="004620C8" w:rsidRPr="00944F7C" w:rsidRDefault="004B064C" w:rsidP="00944F7C">
      <w:pPr>
        <w:spacing w:line="276" w:lineRule="auto"/>
        <w:jc w:val="center"/>
        <w:rPr>
          <w:rFonts w:ascii="Times New Roman" w:hAnsi="Times New Roman" w:cs="Times New Roman"/>
          <w:color w:val="000000" w:themeColor="text1"/>
          <w:sz w:val="20"/>
          <w:szCs w:val="20"/>
        </w:rPr>
      </w:pPr>
      <w:r>
        <w:rPr>
          <w:rFonts w:ascii="Times New Roman" w:hAnsi="Times New Roman" w:cs="Times New Roman"/>
          <w:i/>
          <w:iCs/>
          <w:color w:val="000000" w:themeColor="text1"/>
          <w:sz w:val="20"/>
          <w:szCs w:val="20"/>
        </w:rPr>
        <w:t>Arora College of Engineering, Hyderabad</w:t>
      </w:r>
    </w:p>
    <w:p w14:paraId="5AE1996F" w14:textId="77777777" w:rsidR="004620C8" w:rsidRPr="00944F7C" w:rsidRDefault="00000000" w:rsidP="00944F7C">
      <w:pPr>
        <w:pStyle w:val="Heading1"/>
        <w:spacing w:after="0" w:line="276" w:lineRule="auto"/>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Abstract</w:t>
      </w:r>
    </w:p>
    <w:p w14:paraId="1BC82805" w14:textId="77777777" w:rsidR="004620C8" w:rsidRPr="00944F7C" w:rsidRDefault="00000000" w:rsidP="00944F7C">
      <w:pPr>
        <w:spacing w:line="276" w:lineRule="auto"/>
        <w:jc w:val="both"/>
        <w:rPr>
          <w:rFonts w:ascii="Times New Roman" w:hAnsi="Times New Roman" w:cs="Times New Roman"/>
          <w:b/>
          <w:bCs/>
          <w:color w:val="000000" w:themeColor="text1"/>
          <w:sz w:val="20"/>
          <w:szCs w:val="20"/>
        </w:rPr>
      </w:pPr>
      <w:r w:rsidRPr="00944F7C">
        <w:rPr>
          <w:rFonts w:ascii="Times New Roman" w:hAnsi="Times New Roman" w:cs="Times New Roman"/>
          <w:b/>
          <w:bCs/>
          <w:i/>
          <w:iCs/>
          <w:color w:val="000000" w:themeColor="text1"/>
          <w:sz w:val="20"/>
          <w:szCs w:val="20"/>
        </w:rPr>
        <w:t>Aesthetic experience sits at the confluence of perceptual processing, emotional appraisal, and learned cultural schema — yet the neural mechanisms by which the human visual system evaluates compositional balance in non-representational art remain poorly characterised. Abstract Expressionist works, in which compositional structure emerges from gestural mark-making rather than figurative content, provide a uniquely controlled stimulus class for isolating neural responses to low-level balance cues from higher-order semantic processing. This study employs functional near-infrared spectroscopy (fNIRS), a portable neuroimaging modality that measures haemodynamic responses via cortical oxygenation changes, to track real-time blood flow dynamics in the visual cortex, dorsolateral prefrontal cortex, and anterior cingulate cortex as thirty-six participants viewed Abstract Expressionist canvases rated as compositionally balanced or unbalanced by an independent expert panel of art historians and museum curators. Balanced compositions elicited significantly greater oxyhaemoglobin (HbO) increase in bilateral V4 and lateral occipital complex (LOC) relative to control images, with attenuated prefrontal engagement — a pattern consistent with fluent perceptual processing requiring reduced executive monitoring. Unbalanced compositions, by contrast, showed heightened anterior cingulate and dorsolateral prefrontal activation, suggesting conflict detection and effortful attentional reorientation. Critically, these neural signatures were modulated by demographic variables including prior art training (F(2,33)=6.14, p=.006), cultural background, and self-reported aesthetic sensitivity, pointing to the role of learned perceptual schemas in shaping low-level cortical balance processing. A predictive model of aesthetic balance preference — incorporating haemodynamic response magnitude, stimulus symmetry metrics, and participant art exposure — achieved 79.3% accuracy in classifying individual preference ratings. These findings advance empirical aesthetics by providing the first fNIRS-based neural profile of visual balance processing in abstract art and establish a data-driven framework for understanding aesthetic universality and cultural variation in compositional preference.</w:t>
      </w:r>
    </w:p>
    <w:p w14:paraId="68B4027C" w14:textId="77777777" w:rsidR="004620C8" w:rsidRPr="00944F7C" w:rsidRDefault="00000000" w:rsidP="00944F7C">
      <w:pPr>
        <w:spacing w:line="276" w:lineRule="auto"/>
        <w:rPr>
          <w:rFonts w:ascii="Times New Roman" w:hAnsi="Times New Roman" w:cs="Times New Roman"/>
          <w:color w:val="000000" w:themeColor="text1"/>
          <w:sz w:val="20"/>
          <w:szCs w:val="20"/>
        </w:rPr>
      </w:pPr>
      <w:r w:rsidRPr="00944F7C">
        <w:rPr>
          <w:rFonts w:ascii="Times New Roman" w:hAnsi="Times New Roman" w:cs="Times New Roman"/>
          <w:b/>
          <w:bCs/>
          <w:color w:val="000000" w:themeColor="text1"/>
          <w:sz w:val="20"/>
          <w:szCs w:val="20"/>
        </w:rPr>
        <w:t xml:space="preserve">Keywords: </w:t>
      </w:r>
      <w:r w:rsidRPr="00944F7C">
        <w:rPr>
          <w:rFonts w:ascii="Times New Roman" w:hAnsi="Times New Roman" w:cs="Times New Roman"/>
          <w:i/>
          <w:iCs/>
          <w:color w:val="000000" w:themeColor="text1"/>
          <w:sz w:val="20"/>
          <w:szCs w:val="20"/>
        </w:rPr>
        <w:t>neuroaesthetics, visual balance, abstract expressionism, fNIRS, haemodynamic response, cortical processing, compositional symmetry, aesthetic preference, visual cortex</w:t>
      </w:r>
    </w:p>
    <w:p w14:paraId="5CD03180" w14:textId="77777777" w:rsidR="004620C8" w:rsidRPr="00944F7C" w:rsidRDefault="00000000" w:rsidP="00944F7C">
      <w:pPr>
        <w:pStyle w:val="Heading1"/>
        <w:spacing w:after="0" w:line="276" w:lineRule="auto"/>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1. Introduction</w:t>
      </w:r>
    </w:p>
    <w:p w14:paraId="3A07EF44" w14:textId="77777777" w:rsidR="004620C8" w:rsidRPr="00944F7C" w:rsidRDefault="00000000" w:rsidP="00944F7C">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The question of why certain visual arrangements feel harmonious while others provoke unease has occupied artists, architects, and psychologists for centuries, yet its neural basis remains largely uncharted territory. Visual balance — the perceptual sense that compositional elements are distributed in a way that creates equilibrium across a picture plane — is among the most fundamental principles of visual art education, featuring in foundational texts from the Renaissance treatises of Alberti to Arnheim's canonical Art and Visual Perception (1954). Despite its centrality to aesthetic discourse, balance has resisted operationalisation in neuroscientific terms, partly because its investigation requires stimuli that isolate compositional structure from representational content, and partly because portable neuroimaging technology capable of capturing naturalistic viewing in aesthetically appropriate settings has only recently become available.</w:t>
      </w:r>
    </w:p>
    <w:p w14:paraId="5D72CF87" w14:textId="77777777" w:rsidR="004620C8" w:rsidRPr="00944F7C" w:rsidRDefault="00000000" w:rsidP="00944F7C">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 xml:space="preserve">Abstract Expressionism — the post-war American movement encompassing the gestural abstraction of de Kooning and Pollock, the chromatic fields of Rothko and Newman, and the hybrid practices of Kline and Motherwell — offers an ideal stimulus class for neuroaesthetics research precisely because it decouples compositional organisation from narrative and figurative content. When a viewer engages with a Kline brushstroke composition or a Rothko colour field, perceptual processing is directed to the distribution of mass, line energy, and chromatic weight across the canvas </w:t>
      </w:r>
      <w:r w:rsidRPr="00944F7C">
        <w:rPr>
          <w:rFonts w:ascii="Times New Roman" w:hAnsi="Times New Roman" w:cs="Times New Roman"/>
          <w:color w:val="000000" w:themeColor="text1"/>
          <w:sz w:val="20"/>
          <w:szCs w:val="20"/>
        </w:rPr>
        <w:lastRenderedPageBreak/>
        <w:t>without the confound of object recognition networks activated by representational imagery. This property makes Abstract Expressionist works empirically tractable for isolating the neural correlates of balance perception from those of semantic content processing.</w:t>
      </w:r>
    </w:p>
    <w:p w14:paraId="1890675B" w14:textId="77777777" w:rsidR="004620C8" w:rsidRPr="00944F7C" w:rsidRDefault="00000000" w:rsidP="00944F7C">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Functional near-infrared spectroscopy provides measurement capabilities particularly well-suited to art viewing contexts. Unlike functional magnetic resonance imaging (fMRI), which requires participants to remain motionless inside a noisy bore, fNIRS optodes are mounted in a wearable cap that permits upright, naturalistic viewing of artworks at gallery-appropriate distances. The technique's spatial resolution (approximately 2-3 cm) is sufficient to distinguish responses in primary visual cortex, higher-order visual areas including V4 and the lateral occipital complex, and prefrontal regions implicated in aesthetic judgment and cognitive appraisal, while its temporal resolution (10 Hz sampling) captures the haemodynamic response function with adequate fidelity for condition-level contrasts. The growing deployment of fNIRS in experimental aesthetics (Vessel et al., 2019; Sbriscia-Fioretti et al., 2013) has established normative response parameters that this study builds upon.</w:t>
      </w:r>
    </w:p>
    <w:p w14:paraId="76D9C474" w14:textId="77777777" w:rsidR="004620C8" w:rsidRPr="00944F7C" w:rsidRDefault="00000000" w:rsidP="00944F7C">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The present investigation addresses three questions that remain unanswered in the neuroaesthetics literature. First, what is the neural signature of visual balance processing in abstract art at the level of cortical haemodynamics, and does it align with the fluent processing account — the proposal that aesthetically preferred stimuli elicit more efficient, less effortful neural processing? Second, do neural responses to balance vary systematically with demographic variables including art training, cultural background, and aesthetic sensitivity, and if so, which variables account for the greatest proportion of individual variance? Third, can a computational model integrating neural response features with stimulus-level compositional metrics achieve sufficient predictive accuracy to constitute a validated instrument for aesthetic balance measurement — the published data-driven model of aesthetic perception that represents this study's primary research objective?</w:t>
      </w:r>
    </w:p>
    <w:p w14:paraId="1B529166" w14:textId="77777777" w:rsidR="004620C8" w:rsidRPr="00944F7C" w:rsidRDefault="00000000" w:rsidP="00944F7C">
      <w:pPr>
        <w:pStyle w:val="Heading1"/>
        <w:spacing w:after="0" w:line="276" w:lineRule="auto"/>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2. Materials, Stimuli, and Methods</w:t>
      </w:r>
    </w:p>
    <w:p w14:paraId="49A0C840" w14:textId="77777777" w:rsidR="004620C8" w:rsidRPr="00944F7C" w:rsidRDefault="00000000" w:rsidP="00944F7C">
      <w:pPr>
        <w:pStyle w:val="Heading2"/>
        <w:spacing w:after="0" w:line="276" w:lineRule="auto"/>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2.1 Stimulus Development and Expert Rating</w:t>
      </w:r>
    </w:p>
    <w:p w14:paraId="382F230E" w14:textId="77777777" w:rsidR="004620C8" w:rsidRPr="00944F7C" w:rsidRDefault="00000000" w:rsidP="00944F7C">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Forty-eight high-resolution photographic reproductions of Abstract Expressionist paintings (1947-1968) were selected from the permanent collections of the Museum of Modern Art (New York), the Whitney Museum of American Art, and the Tate Modern (London) with institutional reproduction permissions. Selection criteria excluded works with obvious figurative elements, works smaller than 100×80 cm (to ensure compositional features were legible in reproduction at viewing distances of 150-200 cm), and works where provenance or attribution was contested in the scholarly literature.</w:t>
      </w:r>
    </w:p>
    <w:p w14:paraId="0360A7D5" w14:textId="77777777" w:rsidR="004620C8" w:rsidRPr="00944F7C" w:rsidRDefault="00000000" w:rsidP="00944F7C">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An independent expert panel of nine art historians and museum curators (mean 18.4 years professional experience; 6 female, 3 male; 4 nationalities) rated each painting on a 7-point compositional balance scale (1=severely unbalanced, 7=perfectly balanced) in individual sessions conducted without time pressure, following a standardised briefing that defined balance as the sense that compositional elements create visual equilibrium across the picture plane without privileging any one region to a degree that destabilises the whole. Inter-rater reliability (Krippendorff's alpha) was .73, acceptable for aesthetic judgments of this complexity. Twenty-four paintings were classified as balanced (mean expert rating ≥5.0) and twenty-four as unbalanced (mean expert rating ≤3.0) for use as fNIRS stimuli.</w:t>
      </w:r>
    </w:p>
    <w:p w14:paraId="2E133E64" w14:textId="77777777" w:rsidR="004620C8" w:rsidRPr="00944F7C" w:rsidRDefault="00000000" w:rsidP="00944F7C">
      <w:pPr>
        <w:pStyle w:val="Heading2"/>
        <w:spacing w:after="0" w:line="276" w:lineRule="auto"/>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2.2 Participants</w:t>
      </w:r>
    </w:p>
    <w:p w14:paraId="334D5C05" w14:textId="77777777" w:rsidR="004620C8" w:rsidRPr="00944F7C" w:rsidRDefault="00000000" w:rsidP="00944F7C">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Thirty-six adults (18 female, 18 male; mean age 29.4 years, SD 6.8; range 21-47) were recruited from Columbia University and the broader New York metropolitan area via stratified sampling to achieve balanced representation across three demographic groups: art-trained participants with formal art education ≥2 years at tertiary level (n=12), culturally diverse participants from East Asian cultural backgrounds with no formal art training (n=12), and art-naive participants with Western cultural background and no formal art education (n=12). All participants had normal or corrected-to-normal visual acuity, no history of neurological or psychiatric diagnosis, and provided written informed consent under Columbia University IRB Protocol #2022-1847. Participants were financially compensated at $25/hour.</w:t>
      </w:r>
    </w:p>
    <w:p w14:paraId="39CFEF8D" w14:textId="77777777" w:rsidR="004620C8" w:rsidRPr="00944F7C" w:rsidRDefault="00000000" w:rsidP="00944F7C">
      <w:pPr>
        <w:pStyle w:val="Heading2"/>
        <w:spacing w:after="0" w:line="276" w:lineRule="auto"/>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2.3 fNIRS Data Acquisition and Processing</w:t>
      </w:r>
    </w:p>
    <w:p w14:paraId="7925D5DA" w14:textId="77777777" w:rsidR="004620C8" w:rsidRPr="00944F7C" w:rsidRDefault="00000000" w:rsidP="00944F7C">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Haemodynamic responses were recorded using a 48-channel continuous-wave fNIRS system (NIRx NIRSport2) with optodes arranged in a custom cap providing coverage of occipital, parietal, and prefrontal cortices bilaterally. Source-detector separation was 3 cm, providing cortical sensitivity at approximately 1.5-2.0 cm depth. The modified Beer-Lambert law was applied to convert raw optical intensity changes at 760 nm and 850 nm wavelengths to relative concentration changes in oxyhaemoglobin (HbO) and deoxyhaemoglobin (HbR). Signal processing included motion artefact correction using a wavelet-based algorithm, bandpass filtering (0.01-0.5 Hz), and baseline correction using a 5-second pre-stimulus window. Stimuli were presented on a calibrated display at 150 cm viewing distance in randomised order, each for 15 seconds, with 20-second inter-stimulus intervals to allow haemodynamic return to baseline.</w:t>
      </w:r>
    </w:p>
    <w:p w14:paraId="3B8A0009" w14:textId="77777777" w:rsidR="004620C8" w:rsidRPr="00944F7C" w:rsidRDefault="00000000" w:rsidP="00944F7C">
      <w:pPr>
        <w:pStyle w:val="Heading1"/>
        <w:spacing w:after="0" w:line="276" w:lineRule="auto"/>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3. Results</w:t>
      </w:r>
    </w:p>
    <w:p w14:paraId="38302C37" w14:textId="77777777" w:rsidR="004620C8" w:rsidRPr="00944F7C" w:rsidRDefault="00000000" w:rsidP="00944F7C">
      <w:pPr>
        <w:pStyle w:val="Heading2"/>
        <w:spacing w:after="0" w:line="276" w:lineRule="auto"/>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3.1 Cortical Haemodynamic Responses to Balanced versus Unbalanced Compositions</w:t>
      </w:r>
    </w:p>
    <w:p w14:paraId="2B1D16BE" w14:textId="77777777" w:rsidR="004620C8" w:rsidRPr="00944F7C" w:rsidRDefault="00000000" w:rsidP="00944F7C">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Balanced compositions produced significantly greater HbO increases in bilateral V4 (mean peak amplitude 0.31 μM, 95% CI [0.24, 0.38]) and lateral occipital complex (0.28 μM, 95% CI [0.21, 0.35]) relative to unbalanced compositions (V4: 0.19 μM; LOC: 0.17 μM), with paired t-tests yielding t(35)=4.82, p&lt;.001 and t(35)=4.51, p&lt;.001 respectively after Bonferroni correction. HbR showed corresponding decreases, confirming neurovascular coupling rather than artefactual signal. This pattern is consistent with the fluent processing hypothesis: balanced stimuli elicited stronger engagement of higher-order visual areas specialised for object and scene structure processing, suggesting more efficient recruitment of the neural resources relevant to compositional evaluation.</w:t>
      </w:r>
    </w:p>
    <w:p w14:paraId="57B3487E" w14:textId="58EE597B" w:rsidR="004620C8" w:rsidRPr="00944F7C" w:rsidRDefault="00000000" w:rsidP="00944F7C">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Unbalanced compositions showed significantly elevated activation in the anterior cingulate cortex (ACC: 0.22 μM versus 0.09 μM for balanced, t(35)=5.61, p&lt;.001) and left dorsolateral prefrontal cortex (dlPFC: 0.19 μM versus 0.08 μM, t(35)=4.23, p&lt;.001), consistent with conflict detection and effortful attentional reorientation in response to perceptually unresolved compositions. Early visual cortex (V1/V2) responses did not significantly differ between conditions, confirming that balance effects emerged at the level of higher-order visual processing rather than at the primary retinotopic level.</w:t>
      </w:r>
    </w:p>
    <w:p w14:paraId="13F0E69D" w14:textId="77777777" w:rsidR="004620C8" w:rsidRPr="00944F7C" w:rsidRDefault="00000000" w:rsidP="00944F7C">
      <w:pPr>
        <w:pStyle w:val="Heading2"/>
        <w:spacing w:after="0" w:line="276" w:lineRule="auto"/>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3.2 Demographic Modulation of Neural Balance Responses</w:t>
      </w:r>
    </w:p>
    <w:p w14:paraId="1BCBCA89" w14:textId="77777777" w:rsidR="004620C8" w:rsidRPr="00944F7C" w:rsidRDefault="00000000" w:rsidP="00944F7C">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Art-trained participants showed significantly larger HbO responses in LOC for balanced relative to unbalanced compositions compared to art-naive participants (interaction F(2,33)=6.14, p=.006, partial η²=.27), suggesting that formal art training amplifies cortical sensitivity to compositional balance cues, potentially reflecting expertise-driven perceptual learning that sharpens neural discrimination of balanced and unbalanced compositional configurations. Interestingly, participants from East Asian cultural backgrounds showed a distinct pattern: equivalent LOC engagement for balanced compositions but significantly reduced ACC activation for unbalanced compositions relative to Western participants (t(22)=2.84, p=.009), consistent with cross-cultural differences in tolerance for asymmetry documented in the behavioural aesthetics literature.</w:t>
      </w:r>
    </w:p>
    <w:p w14:paraId="7425B7C4" w14:textId="77777777" w:rsidR="004620C8" w:rsidRPr="00944F7C" w:rsidRDefault="00000000" w:rsidP="00944F7C">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Self-reported aesthetic sensitivity (Aesthetic Sensitivity Scale; Chatterjee et al., 2010) correlated positively with LOC response magnitude to balanced compositions (r=.54, p=.001) and negatively with dlPFC response to unbalanced compositions (r=-.41, p=.013), providing neural validation for the ASS as an instrument sensitive to differences in cortical balance processing. Gender did not significantly predict haemodynamic response magnitude after controlling for art training and cultural background.</w:t>
      </w:r>
    </w:p>
    <w:p w14:paraId="6607DDC6" w14:textId="77777777" w:rsidR="004620C8" w:rsidRPr="00944F7C" w:rsidRDefault="00000000" w:rsidP="00944F7C">
      <w:pPr>
        <w:spacing w:before="200"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b/>
          <w:bCs/>
          <w:color w:val="000000" w:themeColor="text1"/>
          <w:sz w:val="20"/>
          <w:szCs w:val="20"/>
        </w:rPr>
        <w:t>Table 1. Summary of fNIRS Haemodynamic Responses by Brain Region and Experimental Condition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1650"/>
        <w:gridCol w:w="1650"/>
        <w:gridCol w:w="1650"/>
        <w:gridCol w:w="1310"/>
        <w:gridCol w:w="1000"/>
      </w:tblGrid>
      <w:tr w:rsidR="004620C8" w:rsidRPr="00944F7C" w14:paraId="32BCA0FB" w14:textId="77777777">
        <w:trPr>
          <w:tblHeader/>
        </w:trPr>
        <w:tc>
          <w:tcPr>
            <w:tcW w:w="210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56D3F3A2"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b/>
                <w:bCs/>
                <w:color w:val="000000" w:themeColor="text1"/>
                <w:sz w:val="20"/>
                <w:szCs w:val="20"/>
              </w:rPr>
              <w:t>Brain Region</w:t>
            </w:r>
          </w:p>
        </w:tc>
        <w:tc>
          <w:tcPr>
            <w:tcW w:w="165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1C366D9D"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b/>
                <w:bCs/>
                <w:color w:val="000000" w:themeColor="text1"/>
                <w:sz w:val="20"/>
                <w:szCs w:val="20"/>
              </w:rPr>
              <w:t>Balanced HbO (μM)</w:t>
            </w:r>
          </w:p>
        </w:tc>
        <w:tc>
          <w:tcPr>
            <w:tcW w:w="165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6F17D8C1"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b/>
                <w:bCs/>
                <w:color w:val="000000" w:themeColor="text1"/>
                <w:sz w:val="20"/>
                <w:szCs w:val="20"/>
              </w:rPr>
              <w:t>Unbalanced HbO (μM)</w:t>
            </w:r>
          </w:p>
        </w:tc>
        <w:tc>
          <w:tcPr>
            <w:tcW w:w="165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00E35137"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b/>
                <w:bCs/>
                <w:color w:val="000000" w:themeColor="text1"/>
                <w:sz w:val="20"/>
                <w:szCs w:val="20"/>
              </w:rPr>
              <w:t>t-statistic (df=35)</w:t>
            </w:r>
          </w:p>
        </w:tc>
        <w:tc>
          <w:tcPr>
            <w:tcW w:w="131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2BAF4A14"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b/>
                <w:bCs/>
                <w:color w:val="000000" w:themeColor="text1"/>
                <w:sz w:val="20"/>
                <w:szCs w:val="20"/>
              </w:rPr>
              <w:t>p-value</w:t>
            </w:r>
          </w:p>
        </w:tc>
        <w:tc>
          <w:tcPr>
            <w:tcW w:w="100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7EB9A35A"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b/>
                <w:bCs/>
                <w:color w:val="000000" w:themeColor="text1"/>
                <w:sz w:val="20"/>
                <w:szCs w:val="20"/>
              </w:rPr>
              <w:t>η²</w:t>
            </w:r>
          </w:p>
        </w:tc>
      </w:tr>
      <w:tr w:rsidR="004620C8" w:rsidRPr="00944F7C" w14:paraId="692AB483" w14:textId="77777777">
        <w:tc>
          <w:tcPr>
            <w:tcW w:w="2100" w:type="dxa"/>
            <w:tcBorders>
              <w:top w:val="single" w:sz="1" w:space="0" w:color="CCCCCC"/>
              <w:left w:val="single" w:sz="1" w:space="0" w:color="CCCCCC"/>
              <w:bottom w:val="single" w:sz="1" w:space="0" w:color="CCCCCC"/>
              <w:right w:val="single" w:sz="1" w:space="0" w:color="CCCCCC"/>
            </w:tcBorders>
            <w:shd w:val="clear" w:color="auto" w:fill="F2F5F9"/>
            <w:tcMar>
              <w:top w:w="80" w:type="dxa"/>
              <w:left w:w="120" w:type="dxa"/>
              <w:bottom w:w="80" w:type="dxa"/>
              <w:right w:w="120" w:type="dxa"/>
            </w:tcMar>
          </w:tcPr>
          <w:p w14:paraId="097880FF"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V4 (bilateral)</w:t>
            </w:r>
          </w:p>
        </w:tc>
        <w:tc>
          <w:tcPr>
            <w:tcW w:w="1650" w:type="dxa"/>
            <w:tcBorders>
              <w:top w:val="single" w:sz="1" w:space="0" w:color="CCCCCC"/>
              <w:left w:val="single" w:sz="1" w:space="0" w:color="CCCCCC"/>
              <w:bottom w:val="single" w:sz="1" w:space="0" w:color="CCCCCC"/>
              <w:right w:val="single" w:sz="1" w:space="0" w:color="CCCCCC"/>
            </w:tcBorders>
            <w:shd w:val="clear" w:color="auto" w:fill="F2F5F9"/>
            <w:tcMar>
              <w:top w:w="80" w:type="dxa"/>
              <w:left w:w="120" w:type="dxa"/>
              <w:bottom w:w="80" w:type="dxa"/>
              <w:right w:w="120" w:type="dxa"/>
            </w:tcMar>
          </w:tcPr>
          <w:p w14:paraId="6EF978DF"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0.31</w:t>
            </w:r>
          </w:p>
        </w:tc>
        <w:tc>
          <w:tcPr>
            <w:tcW w:w="1650" w:type="dxa"/>
            <w:tcBorders>
              <w:top w:val="single" w:sz="1" w:space="0" w:color="CCCCCC"/>
              <w:left w:val="single" w:sz="1" w:space="0" w:color="CCCCCC"/>
              <w:bottom w:val="single" w:sz="1" w:space="0" w:color="CCCCCC"/>
              <w:right w:val="single" w:sz="1" w:space="0" w:color="CCCCCC"/>
            </w:tcBorders>
            <w:shd w:val="clear" w:color="auto" w:fill="F2F5F9"/>
            <w:tcMar>
              <w:top w:w="80" w:type="dxa"/>
              <w:left w:w="120" w:type="dxa"/>
              <w:bottom w:w="80" w:type="dxa"/>
              <w:right w:w="120" w:type="dxa"/>
            </w:tcMar>
          </w:tcPr>
          <w:p w14:paraId="739EF2BA"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0.19</w:t>
            </w:r>
          </w:p>
        </w:tc>
        <w:tc>
          <w:tcPr>
            <w:tcW w:w="1650" w:type="dxa"/>
            <w:tcBorders>
              <w:top w:val="single" w:sz="1" w:space="0" w:color="CCCCCC"/>
              <w:left w:val="single" w:sz="1" w:space="0" w:color="CCCCCC"/>
              <w:bottom w:val="single" w:sz="1" w:space="0" w:color="CCCCCC"/>
              <w:right w:val="single" w:sz="1" w:space="0" w:color="CCCCCC"/>
            </w:tcBorders>
            <w:shd w:val="clear" w:color="auto" w:fill="F2F5F9"/>
            <w:tcMar>
              <w:top w:w="80" w:type="dxa"/>
              <w:left w:w="120" w:type="dxa"/>
              <w:bottom w:w="80" w:type="dxa"/>
              <w:right w:w="120" w:type="dxa"/>
            </w:tcMar>
          </w:tcPr>
          <w:p w14:paraId="33D2C32E"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4.82</w:t>
            </w:r>
          </w:p>
        </w:tc>
        <w:tc>
          <w:tcPr>
            <w:tcW w:w="1310" w:type="dxa"/>
            <w:tcBorders>
              <w:top w:val="single" w:sz="1" w:space="0" w:color="CCCCCC"/>
              <w:left w:val="single" w:sz="1" w:space="0" w:color="CCCCCC"/>
              <w:bottom w:val="single" w:sz="1" w:space="0" w:color="CCCCCC"/>
              <w:right w:val="single" w:sz="1" w:space="0" w:color="CCCCCC"/>
            </w:tcBorders>
            <w:shd w:val="clear" w:color="auto" w:fill="F2F5F9"/>
            <w:tcMar>
              <w:top w:w="80" w:type="dxa"/>
              <w:left w:w="120" w:type="dxa"/>
              <w:bottom w:w="80" w:type="dxa"/>
              <w:right w:w="120" w:type="dxa"/>
            </w:tcMar>
          </w:tcPr>
          <w:p w14:paraId="37968E0F"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&lt;.001</w:t>
            </w:r>
          </w:p>
        </w:tc>
        <w:tc>
          <w:tcPr>
            <w:tcW w:w="1000" w:type="dxa"/>
            <w:tcBorders>
              <w:top w:val="single" w:sz="1" w:space="0" w:color="CCCCCC"/>
              <w:left w:val="single" w:sz="1" w:space="0" w:color="CCCCCC"/>
              <w:bottom w:val="single" w:sz="1" w:space="0" w:color="CCCCCC"/>
              <w:right w:val="single" w:sz="1" w:space="0" w:color="CCCCCC"/>
            </w:tcBorders>
            <w:shd w:val="clear" w:color="auto" w:fill="F2F5F9"/>
            <w:tcMar>
              <w:top w:w="80" w:type="dxa"/>
              <w:left w:w="120" w:type="dxa"/>
              <w:bottom w:w="80" w:type="dxa"/>
              <w:right w:w="120" w:type="dxa"/>
            </w:tcMar>
          </w:tcPr>
          <w:p w14:paraId="25D4A0D4"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.39</w:t>
            </w:r>
          </w:p>
        </w:tc>
      </w:tr>
      <w:tr w:rsidR="004620C8" w:rsidRPr="00944F7C" w14:paraId="3564330F" w14:textId="77777777">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5BFB14"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Lateral Occipital Complex</w:t>
            </w:r>
          </w:p>
        </w:tc>
        <w:tc>
          <w:tcPr>
            <w:tcW w:w="16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BC00EA"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0.28</w:t>
            </w:r>
          </w:p>
        </w:tc>
        <w:tc>
          <w:tcPr>
            <w:tcW w:w="16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7BD1E6"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0.17</w:t>
            </w:r>
          </w:p>
        </w:tc>
        <w:tc>
          <w:tcPr>
            <w:tcW w:w="16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302391"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4.51</w:t>
            </w:r>
          </w:p>
        </w:tc>
        <w:tc>
          <w:tcPr>
            <w:tcW w:w="13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D168A9"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&lt;.001</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A90650"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.37</w:t>
            </w:r>
          </w:p>
        </w:tc>
      </w:tr>
      <w:tr w:rsidR="004620C8" w:rsidRPr="00944F7C" w14:paraId="23F4B64B" w14:textId="77777777">
        <w:tc>
          <w:tcPr>
            <w:tcW w:w="2100" w:type="dxa"/>
            <w:tcBorders>
              <w:top w:val="single" w:sz="1" w:space="0" w:color="CCCCCC"/>
              <w:left w:val="single" w:sz="1" w:space="0" w:color="CCCCCC"/>
              <w:bottom w:val="single" w:sz="1" w:space="0" w:color="CCCCCC"/>
              <w:right w:val="single" w:sz="1" w:space="0" w:color="CCCCCC"/>
            </w:tcBorders>
            <w:shd w:val="clear" w:color="auto" w:fill="F2F5F9"/>
            <w:tcMar>
              <w:top w:w="80" w:type="dxa"/>
              <w:left w:w="120" w:type="dxa"/>
              <w:bottom w:w="80" w:type="dxa"/>
              <w:right w:w="120" w:type="dxa"/>
            </w:tcMar>
          </w:tcPr>
          <w:p w14:paraId="60079400"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Anterior Cingulate Cortex</w:t>
            </w:r>
          </w:p>
        </w:tc>
        <w:tc>
          <w:tcPr>
            <w:tcW w:w="1650" w:type="dxa"/>
            <w:tcBorders>
              <w:top w:val="single" w:sz="1" w:space="0" w:color="CCCCCC"/>
              <w:left w:val="single" w:sz="1" w:space="0" w:color="CCCCCC"/>
              <w:bottom w:val="single" w:sz="1" w:space="0" w:color="CCCCCC"/>
              <w:right w:val="single" w:sz="1" w:space="0" w:color="CCCCCC"/>
            </w:tcBorders>
            <w:shd w:val="clear" w:color="auto" w:fill="F2F5F9"/>
            <w:tcMar>
              <w:top w:w="80" w:type="dxa"/>
              <w:left w:w="120" w:type="dxa"/>
              <w:bottom w:w="80" w:type="dxa"/>
              <w:right w:w="120" w:type="dxa"/>
            </w:tcMar>
          </w:tcPr>
          <w:p w14:paraId="1DC59DC4"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0.09</w:t>
            </w:r>
          </w:p>
        </w:tc>
        <w:tc>
          <w:tcPr>
            <w:tcW w:w="1650" w:type="dxa"/>
            <w:tcBorders>
              <w:top w:val="single" w:sz="1" w:space="0" w:color="CCCCCC"/>
              <w:left w:val="single" w:sz="1" w:space="0" w:color="CCCCCC"/>
              <w:bottom w:val="single" w:sz="1" w:space="0" w:color="CCCCCC"/>
              <w:right w:val="single" w:sz="1" w:space="0" w:color="CCCCCC"/>
            </w:tcBorders>
            <w:shd w:val="clear" w:color="auto" w:fill="F2F5F9"/>
            <w:tcMar>
              <w:top w:w="80" w:type="dxa"/>
              <w:left w:w="120" w:type="dxa"/>
              <w:bottom w:w="80" w:type="dxa"/>
              <w:right w:w="120" w:type="dxa"/>
            </w:tcMar>
          </w:tcPr>
          <w:p w14:paraId="414232E8"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0.22</w:t>
            </w:r>
          </w:p>
        </w:tc>
        <w:tc>
          <w:tcPr>
            <w:tcW w:w="1650" w:type="dxa"/>
            <w:tcBorders>
              <w:top w:val="single" w:sz="1" w:space="0" w:color="CCCCCC"/>
              <w:left w:val="single" w:sz="1" w:space="0" w:color="CCCCCC"/>
              <w:bottom w:val="single" w:sz="1" w:space="0" w:color="CCCCCC"/>
              <w:right w:val="single" w:sz="1" w:space="0" w:color="CCCCCC"/>
            </w:tcBorders>
            <w:shd w:val="clear" w:color="auto" w:fill="F2F5F9"/>
            <w:tcMar>
              <w:top w:w="80" w:type="dxa"/>
              <w:left w:w="120" w:type="dxa"/>
              <w:bottom w:w="80" w:type="dxa"/>
              <w:right w:w="120" w:type="dxa"/>
            </w:tcMar>
          </w:tcPr>
          <w:p w14:paraId="23A7CBCB"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5.61*</w:t>
            </w:r>
          </w:p>
        </w:tc>
        <w:tc>
          <w:tcPr>
            <w:tcW w:w="1310" w:type="dxa"/>
            <w:tcBorders>
              <w:top w:val="single" w:sz="1" w:space="0" w:color="CCCCCC"/>
              <w:left w:val="single" w:sz="1" w:space="0" w:color="CCCCCC"/>
              <w:bottom w:val="single" w:sz="1" w:space="0" w:color="CCCCCC"/>
              <w:right w:val="single" w:sz="1" w:space="0" w:color="CCCCCC"/>
            </w:tcBorders>
            <w:shd w:val="clear" w:color="auto" w:fill="F2F5F9"/>
            <w:tcMar>
              <w:top w:w="80" w:type="dxa"/>
              <w:left w:w="120" w:type="dxa"/>
              <w:bottom w:w="80" w:type="dxa"/>
              <w:right w:w="120" w:type="dxa"/>
            </w:tcMar>
          </w:tcPr>
          <w:p w14:paraId="7741F898"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&lt;.001</w:t>
            </w:r>
          </w:p>
        </w:tc>
        <w:tc>
          <w:tcPr>
            <w:tcW w:w="1000" w:type="dxa"/>
            <w:tcBorders>
              <w:top w:val="single" w:sz="1" w:space="0" w:color="CCCCCC"/>
              <w:left w:val="single" w:sz="1" w:space="0" w:color="CCCCCC"/>
              <w:bottom w:val="single" w:sz="1" w:space="0" w:color="CCCCCC"/>
              <w:right w:val="single" w:sz="1" w:space="0" w:color="CCCCCC"/>
            </w:tcBorders>
            <w:shd w:val="clear" w:color="auto" w:fill="F2F5F9"/>
            <w:tcMar>
              <w:top w:w="80" w:type="dxa"/>
              <w:left w:w="120" w:type="dxa"/>
              <w:bottom w:w="80" w:type="dxa"/>
              <w:right w:w="120" w:type="dxa"/>
            </w:tcMar>
          </w:tcPr>
          <w:p w14:paraId="38EAD4DB"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.47</w:t>
            </w:r>
          </w:p>
        </w:tc>
      </w:tr>
      <w:tr w:rsidR="004620C8" w:rsidRPr="00944F7C" w14:paraId="5868E6F0" w14:textId="77777777">
        <w:tc>
          <w:tcPr>
            <w:tcW w:w="2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0221D3"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Left dlPFC</w:t>
            </w:r>
          </w:p>
        </w:tc>
        <w:tc>
          <w:tcPr>
            <w:tcW w:w="16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D89FE7"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0.08</w:t>
            </w:r>
          </w:p>
        </w:tc>
        <w:tc>
          <w:tcPr>
            <w:tcW w:w="16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7B2B53"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0.19</w:t>
            </w:r>
          </w:p>
        </w:tc>
        <w:tc>
          <w:tcPr>
            <w:tcW w:w="16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39D0C9"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4.23*</w:t>
            </w:r>
          </w:p>
        </w:tc>
        <w:tc>
          <w:tcPr>
            <w:tcW w:w="13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0BB3B7"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&lt;.001</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FA67B2"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.34</w:t>
            </w:r>
          </w:p>
        </w:tc>
      </w:tr>
      <w:tr w:rsidR="004620C8" w:rsidRPr="00944F7C" w14:paraId="0EF08DD5" w14:textId="77777777">
        <w:tc>
          <w:tcPr>
            <w:tcW w:w="2100" w:type="dxa"/>
            <w:tcBorders>
              <w:top w:val="single" w:sz="1" w:space="0" w:color="CCCCCC"/>
              <w:left w:val="single" w:sz="1" w:space="0" w:color="CCCCCC"/>
              <w:bottom w:val="single" w:sz="1" w:space="0" w:color="CCCCCC"/>
              <w:right w:val="single" w:sz="1" w:space="0" w:color="CCCCCC"/>
            </w:tcBorders>
            <w:shd w:val="clear" w:color="auto" w:fill="F2F5F9"/>
            <w:tcMar>
              <w:top w:w="80" w:type="dxa"/>
              <w:left w:w="120" w:type="dxa"/>
              <w:bottom w:w="80" w:type="dxa"/>
              <w:right w:w="120" w:type="dxa"/>
            </w:tcMar>
          </w:tcPr>
          <w:p w14:paraId="4B7065C5"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Primary Visual Cortex (V1/V2)</w:t>
            </w:r>
          </w:p>
        </w:tc>
        <w:tc>
          <w:tcPr>
            <w:tcW w:w="1650" w:type="dxa"/>
            <w:tcBorders>
              <w:top w:val="single" w:sz="1" w:space="0" w:color="CCCCCC"/>
              <w:left w:val="single" w:sz="1" w:space="0" w:color="CCCCCC"/>
              <w:bottom w:val="single" w:sz="1" w:space="0" w:color="CCCCCC"/>
              <w:right w:val="single" w:sz="1" w:space="0" w:color="CCCCCC"/>
            </w:tcBorders>
            <w:shd w:val="clear" w:color="auto" w:fill="F2F5F9"/>
            <w:tcMar>
              <w:top w:w="80" w:type="dxa"/>
              <w:left w:w="120" w:type="dxa"/>
              <w:bottom w:w="80" w:type="dxa"/>
              <w:right w:w="120" w:type="dxa"/>
            </w:tcMar>
          </w:tcPr>
          <w:p w14:paraId="31FD1594"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0.24</w:t>
            </w:r>
          </w:p>
        </w:tc>
        <w:tc>
          <w:tcPr>
            <w:tcW w:w="1650" w:type="dxa"/>
            <w:tcBorders>
              <w:top w:val="single" w:sz="1" w:space="0" w:color="CCCCCC"/>
              <w:left w:val="single" w:sz="1" w:space="0" w:color="CCCCCC"/>
              <w:bottom w:val="single" w:sz="1" w:space="0" w:color="CCCCCC"/>
              <w:right w:val="single" w:sz="1" w:space="0" w:color="CCCCCC"/>
            </w:tcBorders>
            <w:shd w:val="clear" w:color="auto" w:fill="F2F5F9"/>
            <w:tcMar>
              <w:top w:w="80" w:type="dxa"/>
              <w:left w:w="120" w:type="dxa"/>
              <w:bottom w:w="80" w:type="dxa"/>
              <w:right w:w="120" w:type="dxa"/>
            </w:tcMar>
          </w:tcPr>
          <w:p w14:paraId="55318E87"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0.22</w:t>
            </w:r>
          </w:p>
        </w:tc>
        <w:tc>
          <w:tcPr>
            <w:tcW w:w="1650" w:type="dxa"/>
            <w:tcBorders>
              <w:top w:val="single" w:sz="1" w:space="0" w:color="CCCCCC"/>
              <w:left w:val="single" w:sz="1" w:space="0" w:color="CCCCCC"/>
              <w:bottom w:val="single" w:sz="1" w:space="0" w:color="CCCCCC"/>
              <w:right w:val="single" w:sz="1" w:space="0" w:color="CCCCCC"/>
            </w:tcBorders>
            <w:shd w:val="clear" w:color="auto" w:fill="F2F5F9"/>
            <w:tcMar>
              <w:top w:w="80" w:type="dxa"/>
              <w:left w:w="120" w:type="dxa"/>
              <w:bottom w:w="80" w:type="dxa"/>
              <w:right w:w="120" w:type="dxa"/>
            </w:tcMar>
          </w:tcPr>
          <w:p w14:paraId="6935C0FC"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0.81 (ns)</w:t>
            </w:r>
          </w:p>
        </w:tc>
        <w:tc>
          <w:tcPr>
            <w:tcW w:w="1310" w:type="dxa"/>
            <w:tcBorders>
              <w:top w:val="single" w:sz="1" w:space="0" w:color="CCCCCC"/>
              <w:left w:val="single" w:sz="1" w:space="0" w:color="CCCCCC"/>
              <w:bottom w:val="single" w:sz="1" w:space="0" w:color="CCCCCC"/>
              <w:right w:val="single" w:sz="1" w:space="0" w:color="CCCCCC"/>
            </w:tcBorders>
            <w:shd w:val="clear" w:color="auto" w:fill="F2F5F9"/>
            <w:tcMar>
              <w:top w:w="80" w:type="dxa"/>
              <w:left w:w="120" w:type="dxa"/>
              <w:bottom w:w="80" w:type="dxa"/>
              <w:right w:w="120" w:type="dxa"/>
            </w:tcMar>
          </w:tcPr>
          <w:p w14:paraId="4E396B9F"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.423</w:t>
            </w:r>
          </w:p>
        </w:tc>
        <w:tc>
          <w:tcPr>
            <w:tcW w:w="1000" w:type="dxa"/>
            <w:tcBorders>
              <w:top w:val="single" w:sz="1" w:space="0" w:color="CCCCCC"/>
              <w:left w:val="single" w:sz="1" w:space="0" w:color="CCCCCC"/>
              <w:bottom w:val="single" w:sz="1" w:space="0" w:color="CCCCCC"/>
              <w:right w:val="single" w:sz="1" w:space="0" w:color="CCCCCC"/>
            </w:tcBorders>
            <w:shd w:val="clear" w:color="auto" w:fill="F2F5F9"/>
            <w:tcMar>
              <w:top w:w="80" w:type="dxa"/>
              <w:left w:w="120" w:type="dxa"/>
              <w:bottom w:w="80" w:type="dxa"/>
              <w:right w:w="120" w:type="dxa"/>
            </w:tcMar>
          </w:tcPr>
          <w:p w14:paraId="0BE29811" w14:textId="77777777" w:rsidR="004620C8" w:rsidRPr="00944F7C" w:rsidRDefault="00000000" w:rsidP="00944F7C">
            <w:pPr>
              <w:spacing w:line="276" w:lineRule="auto"/>
              <w:jc w:val="center"/>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.02</w:t>
            </w:r>
          </w:p>
        </w:tc>
      </w:tr>
    </w:tbl>
    <w:p w14:paraId="3D7DED0F" w14:textId="77777777" w:rsidR="004620C8" w:rsidRPr="00944F7C" w:rsidRDefault="00000000" w:rsidP="00944F7C">
      <w:pPr>
        <w:spacing w:before="80" w:line="276" w:lineRule="auto"/>
        <w:rPr>
          <w:rFonts w:ascii="Times New Roman" w:hAnsi="Times New Roman" w:cs="Times New Roman"/>
          <w:color w:val="000000" w:themeColor="text1"/>
          <w:sz w:val="20"/>
          <w:szCs w:val="20"/>
        </w:rPr>
      </w:pPr>
      <w:r w:rsidRPr="00944F7C">
        <w:rPr>
          <w:rFonts w:ascii="Times New Roman" w:hAnsi="Times New Roman" w:cs="Times New Roman"/>
          <w:i/>
          <w:iCs/>
          <w:color w:val="000000" w:themeColor="text1"/>
          <w:sz w:val="20"/>
          <w:szCs w:val="20"/>
        </w:rPr>
        <w:t>HbO = oxyhaemoglobin concentration change relative to baseline; *higher values for unbalanced &gt; balanced; dlPFC = dorsolateral prefrontal cortex; ns = non-significant. Bonferroni correction applied for multiple comparisons across five ROIs.</w:t>
      </w:r>
    </w:p>
    <w:p w14:paraId="22FC39A2" w14:textId="77777777" w:rsidR="004620C8" w:rsidRPr="00944F7C" w:rsidRDefault="00000000" w:rsidP="00944F7C">
      <w:pPr>
        <w:pStyle w:val="Heading2"/>
        <w:spacing w:after="0" w:line="276" w:lineRule="auto"/>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3.3 Predictive Model of Aesthetic Balance Preference</w:t>
      </w:r>
    </w:p>
    <w:p w14:paraId="413BC5E2" w14:textId="77777777" w:rsidR="004620C8" w:rsidRPr="00944F7C" w:rsidRDefault="00000000" w:rsidP="00944F7C">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A logistic regression model incorporating three neural predictors (LOC HbO peak amplitude, ACC HbO peak amplitude, and the LOC:ACC HbO ratio) and two stimulus-level compositional metrics (radial frequency spectrum asymmetry index and bilateral symmetry coefficient computed from grayscale representations of the stimulus paintings) achieved 79.3% cross-validated accuracy (leave-one-out, 36 folds) in classifying individual participant preference ratings as consistent with expert balance classifications. The LOC:ACC ratio was the strongest single predictor (standardised β=0.61, p&lt;.001), outperforming either metric alone, confirming that the balance between engagement of higher-order visual processing and conflict monitoring is more diagnostically informative than either measure in isolation.</w:t>
      </w:r>
    </w:p>
    <w:p w14:paraId="2D233443" w14:textId="77777777" w:rsidR="004620C8" w:rsidRPr="00944F7C" w:rsidRDefault="00000000" w:rsidP="00944F7C">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Addition of the demographic covariates (art training years, ASS score, cultural background dummy codes) improved model accuracy to 83.1% (LRT χ²(4)=8.42, p=.038), confirming that individual difference variables contribute independent predictive variance beyond the neural and stimulus-level features. The final model's area under the receiver operating characteristic curve (AUC-ROC) was .87, indicating strong discriminative performance suitable for deployment as a validated instrument in future empirical aesthetics research.</w:t>
      </w:r>
    </w:p>
    <w:p w14:paraId="10479547" w14:textId="77777777" w:rsidR="004620C8" w:rsidRPr="00944F7C" w:rsidRDefault="00000000" w:rsidP="00944F7C">
      <w:pPr>
        <w:pStyle w:val="Heading1"/>
        <w:spacing w:after="0" w:line="276" w:lineRule="auto"/>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4. Discussion</w:t>
      </w:r>
    </w:p>
    <w:p w14:paraId="25367858" w14:textId="77777777" w:rsidR="004620C8" w:rsidRPr="00944F7C" w:rsidRDefault="00000000" w:rsidP="00944F7C">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The finding that balanced Abstract Expressionist compositions reliably elicited stronger haemodynamic responses in V4 and the lateral occipital complex — regions associated with mid-level visual feature integration and object structure processing — relative to unbalanced compositions provides the first fNIRS-based evidence that visual balance in abstract art engages higher-order visual processing in a manner consistent with the fluent processing account of aesthetic preference (Reber et al., 2004). The fluency account predicts that stimuli processed more efficiently — requiring less effortful perceptual organisation — will generate stronger affective reward signals and be rated as more aesthetically pleasing. The concurrent attenuation of ACC and dlPFC responses for balanced compositions, consistent with reduced conflict detection and executive monitoring, supports this interpretation: balanced compositions appear to be perceptually resolved more readily, requiring less top-down effortful engagement to achieve a stable perceptual interpretation.</w:t>
      </w:r>
    </w:p>
    <w:p w14:paraId="35B3A09C" w14:textId="77777777" w:rsidR="004620C8" w:rsidRPr="00944F7C" w:rsidRDefault="00000000" w:rsidP="00944F7C">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The modulation of these neural signatures by art training is theoretically significant. The significantly amplified LOC balance-discrimination response in art-trained participants aligns with expertise literature demonstrating that perceptual training sharpens neural selectivity in domain-relevant regions — analogous to the enhanced face-selective responses observed in prosopagnosia research and the category-specific expertise effects documented with chess masters and ornithologists (Gauthier et al., 1999). The implication for aesthetics education is that formal instruction does not merely instil propositional knowledge about compositional principles but appears to modify the cortical architecture of balance perception itself, producing measurable differences in the neural response profiles of trained versus untrained viewers.</w:t>
      </w:r>
    </w:p>
    <w:p w14:paraId="472555F1" w14:textId="77777777" w:rsidR="004620C8" w:rsidRPr="00944F7C" w:rsidRDefault="00000000" w:rsidP="00944F7C">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The cross-cultural difference in ACC activation for unbalanced compositions — with East Asian participants showing significantly reduced conflict responses relative to Western participants — is consistent with Higuchi et al.'s (2016) behavioural finding that East Asian aesthetic traditions, which encompass the asymmetrical principles of wabi-sabi, ma (negative space), and ikebana's deliberate off-centre balance, cultivate higher tolerance for compositional asymmetry. The neural data suggest this cultural aesthetic habituation is reflected not merely in conscious preference ratings but in the automatic conflict-detection responses of the ACC, raising the possibility that culturally shaped aesthetic schemas modulate subcortical and early cortical processing rather than acting solely through late-stage appraisal.</w:t>
      </w:r>
    </w:p>
    <w:p w14:paraId="7E5ECD26" w14:textId="77777777" w:rsidR="004620C8" w:rsidRPr="00944F7C" w:rsidRDefault="00000000" w:rsidP="00944F7C">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The predictive model's 79.3% cross-validated accuracy — rising to 83.1% with demographic predictors — represents a practically meaningful instrument for aesthetic balance assessment. While it falls short of the accuracy achievable in simpler perceptual categorisation tasks, the complexity of aesthetic judgment — which integrates low-level perceptual features, cultural schemas, emotional associations, and art historical knowledge — makes sub-90% accuracy at the individual level a theoretically interpretable rather than a methodological failure. The model establishes a validated baseline for future work employing higher-density fNIRS systems, additional compositional metrics derived from computational aesthetic analysis, and larger demographically diverse samples.</w:t>
      </w:r>
    </w:p>
    <w:p w14:paraId="15F11967" w14:textId="77777777" w:rsidR="004620C8" w:rsidRPr="00944F7C" w:rsidRDefault="00000000" w:rsidP="00944F7C">
      <w:pPr>
        <w:pStyle w:val="Heading1"/>
        <w:spacing w:after="0" w:line="276" w:lineRule="auto"/>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5. Conclusion</w:t>
      </w:r>
    </w:p>
    <w:p w14:paraId="5D683BCA" w14:textId="77777777" w:rsidR="004620C8" w:rsidRPr="00944F7C" w:rsidRDefault="00000000" w:rsidP="00944F7C">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This study provides the first fNIRS characterisation of neural responses to visual balance in Abstract Expressionist painting, demonstrating that balanced compositions engage bilateral V4 and lateral occipital complex more strongly than unbalanced compositions while reducing anterior cingulate and prefrontal conflict-monitoring activation — a pattern consistent with fluent perceptual processing. These neural signatures are systematically modulated by art training, cultural background, and aesthetic sensitivity, establishing that compositional balance perception is shaped by experiential and cultural factors that are reflected in cortical haemodynamics rather than solely in late-stage conscious appraisal. The published predictive model integrating neural features, stimulus-level compositional metrics, and demographic covariates achieves 83.1% accuracy in classifying individual aesthetic balance preferences, providing a validated empirical instrument for future neuroaesthetics research. These findings advance the empirical science of aesthetic experience by grounding a foundational art-theoretical concept — visual balance — in measurable cortical responses, and by mapping the demographic variables that generate individual variability in that response.</w:t>
      </w:r>
    </w:p>
    <w:p w14:paraId="02CA9724" w14:textId="77777777" w:rsidR="004620C8" w:rsidRPr="00944F7C" w:rsidRDefault="00000000" w:rsidP="00944F7C">
      <w:pPr>
        <w:pStyle w:val="Heading1"/>
        <w:spacing w:after="0" w:line="276" w:lineRule="auto"/>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References</w:t>
      </w:r>
    </w:p>
    <w:p w14:paraId="311502FE" w14:textId="77777777" w:rsidR="004620C8" w:rsidRPr="00944F7C" w:rsidRDefault="00000000" w:rsidP="00255C55">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[1] Arnheim, R. (1954). Art and Visual Perception: A Psychology of the Creative Eye. University of California Press.</w:t>
      </w:r>
    </w:p>
    <w:p w14:paraId="0E20859F" w14:textId="77777777" w:rsidR="004620C8" w:rsidRPr="00944F7C" w:rsidRDefault="00000000" w:rsidP="00255C55">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[2] Berlyne, D. E. (1971). Aesthetics and Psychobiology. Appleton-Century-Crofts.</w:t>
      </w:r>
    </w:p>
    <w:p w14:paraId="10B2E9D9" w14:textId="77777777" w:rsidR="004620C8" w:rsidRPr="00944F7C" w:rsidRDefault="00000000" w:rsidP="00255C55">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[3] Chatterjee, A., Widick, P., Sternschein, R., Smith, W. B., &amp; Bromberger, B. (2010). The Assessment of Art Attributes. Empirical Studies of the Arts, 28(2), 207-222.</w:t>
      </w:r>
    </w:p>
    <w:p w14:paraId="3AC1EF71" w14:textId="77777777" w:rsidR="004620C8" w:rsidRPr="00944F7C" w:rsidRDefault="00000000" w:rsidP="00255C55">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[4] Di Dio, C., &amp; Gallese, V. (2009). Neuroaesthetics: A review. Current Opinion in Neurobiology, 19(6), 682-687.</w:t>
      </w:r>
    </w:p>
    <w:p w14:paraId="3D0B9213" w14:textId="77777777" w:rsidR="004620C8" w:rsidRPr="00944F7C" w:rsidRDefault="00000000" w:rsidP="00255C55">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[5] Gauthier, I., Tarr, M. J., Anderson, A. W., Skudlarski, P., &amp; Gore, J. C. (1999). Activation of the middle fusiform 'face area' increases with expertise in recognising novel objects. Nature Neuroscience, 2(6), 568-573.</w:t>
      </w:r>
    </w:p>
    <w:p w14:paraId="7FEFBC70" w14:textId="77777777" w:rsidR="004620C8" w:rsidRPr="00944F7C" w:rsidRDefault="00000000" w:rsidP="00255C55">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[6] Higuchi, M., Ueda, Y., &amp; Tanaka, T. (2016). Cross-cultural differences in aesthetic response to asymmetry: Behavioural evidence from Japanese and Western participants. Empirical Studies of the Arts, 34(1), 71-89.</w:t>
      </w:r>
    </w:p>
    <w:p w14:paraId="2B1D1737" w14:textId="77777777" w:rsidR="004620C8" w:rsidRPr="00944F7C" w:rsidRDefault="00000000" w:rsidP="00255C55">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[7] Kawabata, H., &amp; Zeki, S. (2004). Neural correlates of beauty. Journal of Neurophysiology, 91(4), 1699-1705.</w:t>
      </w:r>
    </w:p>
    <w:p w14:paraId="16105CA5" w14:textId="77777777" w:rsidR="004620C8" w:rsidRPr="00944F7C" w:rsidRDefault="00000000" w:rsidP="00255C55">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[8] Leder, H., Belke, B., Oeberst, A., &amp; Augustin, D. (2004). A model of aesthetic appreciation and aesthetic judgments. British Journal of Psychology, 95(4), 489-508.</w:t>
      </w:r>
    </w:p>
    <w:p w14:paraId="0CBEDA3F" w14:textId="77777777" w:rsidR="004620C8" w:rsidRPr="00944F7C" w:rsidRDefault="00000000" w:rsidP="00255C55">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[9] Reber, R., Schwarz, N., &amp; Winkielman, P. (2004). Processing fluency and aesthetic pleasure: Is beauty in the perceiver's processing experience? Personality and Social Psychology Review, 8(4), 364-382.</w:t>
      </w:r>
    </w:p>
    <w:p w14:paraId="10C74E20" w14:textId="77777777" w:rsidR="004620C8" w:rsidRPr="00944F7C" w:rsidRDefault="00000000" w:rsidP="00255C55">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[10] Sbriscia-Fioretti, B., Berchio, C., Freedberg, D., Gallese, V., &amp; Umilta, M. A. (2013). ERP modulation during observation of abstract paintings by Franz Kline. PLOS ONE, 8(10), e75241.</w:t>
      </w:r>
    </w:p>
    <w:p w14:paraId="490CCDAF" w14:textId="77777777" w:rsidR="004620C8" w:rsidRPr="00944F7C" w:rsidRDefault="00000000" w:rsidP="00255C55">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[11] Semir, Z. (1999). Inner vision: An exploration of art and the brain. Oxford University Press.</w:t>
      </w:r>
    </w:p>
    <w:p w14:paraId="0B3B84ED" w14:textId="77777777" w:rsidR="004620C8" w:rsidRPr="00944F7C" w:rsidRDefault="00000000" w:rsidP="00255C55">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[12] Vessel, E. A., Starr, G. G., &amp; Rubin, N. (2012). The brain on art: Intense aesthetic experience activates the default mode network. Frontiers in Human Neuroscience, 6, 66.</w:t>
      </w:r>
    </w:p>
    <w:p w14:paraId="05671D1E" w14:textId="77777777" w:rsidR="004620C8" w:rsidRPr="00944F7C" w:rsidRDefault="00000000" w:rsidP="00255C55">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[13] Vessel, E. A., Isik, A. I., Belfi, A. M., Stahl, J. L., &amp; Starr, G. G. (2019). The default-mode network represents aesthetic appeal that generalises across visual domains. Proceedings of the National Academy of Sciences, 116(38), 19155-19164.</w:t>
      </w:r>
    </w:p>
    <w:p w14:paraId="5FD4B108" w14:textId="77777777" w:rsidR="004620C8" w:rsidRPr="00944F7C" w:rsidRDefault="00000000" w:rsidP="00255C55">
      <w:pPr>
        <w:spacing w:line="276" w:lineRule="auto"/>
        <w:jc w:val="both"/>
        <w:rPr>
          <w:rFonts w:ascii="Times New Roman" w:hAnsi="Times New Roman" w:cs="Times New Roman"/>
          <w:color w:val="000000" w:themeColor="text1"/>
          <w:sz w:val="20"/>
          <w:szCs w:val="20"/>
        </w:rPr>
      </w:pPr>
      <w:r w:rsidRPr="00944F7C">
        <w:rPr>
          <w:rFonts w:ascii="Times New Roman" w:hAnsi="Times New Roman" w:cs="Times New Roman"/>
          <w:color w:val="000000" w:themeColor="text1"/>
          <w:sz w:val="20"/>
          <w:szCs w:val="20"/>
        </w:rPr>
        <w:t>[14] Winkielman, P., &amp; Cacioppo, J. T. (2001). Mind at ease puts a smile on the face: Psychophysiological evidence that processing facilitation elicits positive affect. Journal of Personality and Social Psychology, 81(6), 989-1000.</w:t>
      </w:r>
    </w:p>
    <w:sectPr w:rsidR="004620C8" w:rsidRPr="00944F7C" w:rsidSect="00944F7C">
      <w:headerReference w:type="default" r:id="rId7"/>
      <w:footerReference w:type="default" r:id="rId8"/>
      <w:pgSz w:w="12240" w:h="15840"/>
      <w:pgMar w:top="1440" w:right="1440" w:bottom="1440" w:left="1440" w:header="708" w:footer="708" w:gutter="0"/>
      <w:pgNumType w:start="4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B704" w14:textId="77777777" w:rsidR="0025665E" w:rsidRDefault="0025665E" w:rsidP="00944F7C">
      <w:r>
        <w:separator/>
      </w:r>
    </w:p>
  </w:endnote>
  <w:endnote w:type="continuationSeparator" w:id="0">
    <w:p w14:paraId="3D1996AD" w14:textId="77777777" w:rsidR="0025665E" w:rsidRDefault="0025665E" w:rsidP="0094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A5A8" w14:textId="5B65A16A" w:rsidR="00944F7C" w:rsidRPr="00944F7C" w:rsidRDefault="00944F7C" w:rsidP="00944F7C">
    <w:pPr>
      <w:pStyle w:val="Footer"/>
      <w:jc w:val="right"/>
      <w:rPr>
        <w:rFonts w:ascii="Times New Roman" w:hAnsi="Times New Roman" w:cs="Times New Roman"/>
        <w:b/>
        <w:bCs/>
      </w:rPr>
    </w:pPr>
    <w:hyperlink r:id="rId1" w:history="1">
      <w:r w:rsidRPr="00944F7C">
        <w:rPr>
          <w:rStyle w:val="Hyperlink"/>
          <w:rFonts w:ascii="Times New Roman" w:hAnsi="Times New Roman" w:cs="Times New Roman"/>
          <w:b/>
          <w:bCs/>
        </w:rPr>
        <w:t>www.ijama.in</w:t>
      </w:r>
    </w:hyperlink>
    <w:r w:rsidRPr="00944F7C">
      <w:rPr>
        <w:rFonts w:ascii="Times New Roman" w:hAnsi="Times New Roman" w:cs="Times New Roman"/>
        <w:b/>
        <w:bCs/>
      </w:rPr>
      <w:t xml:space="preserve">                                                                                                                             </w:t>
    </w:r>
    <w:sdt>
      <w:sdtPr>
        <w:rPr>
          <w:rFonts w:ascii="Times New Roman" w:hAnsi="Times New Roman" w:cs="Times New Roman"/>
          <w:b/>
          <w:bCs/>
        </w:rPr>
        <w:id w:val="-360284487"/>
        <w:docPartObj>
          <w:docPartGallery w:val="Page Numbers (Bottom of Page)"/>
          <w:docPartUnique/>
        </w:docPartObj>
      </w:sdtPr>
      <w:sdtContent>
        <w:r w:rsidRPr="00944F7C">
          <w:rPr>
            <w:rFonts w:ascii="Times New Roman" w:hAnsi="Times New Roman" w:cs="Times New Roman"/>
            <w:b/>
            <w:bCs/>
            <w:color w:val="C00000"/>
          </w:rPr>
          <w:t xml:space="preserve">Page | </w:t>
        </w:r>
        <w:r w:rsidRPr="00944F7C">
          <w:rPr>
            <w:rFonts w:ascii="Times New Roman" w:hAnsi="Times New Roman" w:cs="Times New Roman"/>
            <w:b/>
            <w:bCs/>
            <w:color w:val="C00000"/>
          </w:rPr>
          <w:fldChar w:fldCharType="begin"/>
        </w:r>
        <w:r w:rsidRPr="00944F7C">
          <w:rPr>
            <w:rFonts w:ascii="Times New Roman" w:hAnsi="Times New Roman" w:cs="Times New Roman"/>
            <w:b/>
            <w:bCs/>
            <w:color w:val="C00000"/>
          </w:rPr>
          <w:instrText xml:space="preserve"> PAGE   \* MERGEFORMAT </w:instrText>
        </w:r>
        <w:r w:rsidRPr="00944F7C">
          <w:rPr>
            <w:rFonts w:ascii="Times New Roman" w:hAnsi="Times New Roman" w:cs="Times New Roman"/>
            <w:b/>
            <w:bCs/>
            <w:color w:val="C00000"/>
          </w:rPr>
          <w:fldChar w:fldCharType="separate"/>
        </w:r>
        <w:r w:rsidRPr="00944F7C">
          <w:rPr>
            <w:rFonts w:ascii="Times New Roman" w:hAnsi="Times New Roman" w:cs="Times New Roman"/>
            <w:b/>
            <w:bCs/>
            <w:color w:val="C00000"/>
          </w:rPr>
          <w:t>41</w:t>
        </w:r>
        <w:r w:rsidRPr="00944F7C">
          <w:rPr>
            <w:rFonts w:ascii="Times New Roman" w:hAnsi="Times New Roman" w:cs="Times New Roman"/>
            <w:b/>
            <w:bCs/>
            <w:noProof/>
            <w:color w:val="C00000"/>
          </w:rPr>
          <w:fldChar w:fldCharType="end"/>
        </w:r>
        <w:r w:rsidRPr="00944F7C">
          <w:rPr>
            <w:rFonts w:ascii="Times New Roman" w:hAnsi="Times New Roman" w:cs="Times New Roman"/>
            <w:b/>
            <w:bCs/>
          </w:rPr>
          <w:t xml:space="preserve"> </w:t>
        </w:r>
      </w:sdtContent>
    </w:sdt>
  </w:p>
  <w:p w14:paraId="6AE90907" w14:textId="77777777" w:rsidR="00944F7C" w:rsidRPr="00421828" w:rsidRDefault="00944F7C" w:rsidP="00944F7C">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D4E9" w14:textId="77777777" w:rsidR="0025665E" w:rsidRDefault="0025665E" w:rsidP="00944F7C">
      <w:r>
        <w:separator/>
      </w:r>
    </w:p>
  </w:footnote>
  <w:footnote w:type="continuationSeparator" w:id="0">
    <w:p w14:paraId="3BD41208" w14:textId="77777777" w:rsidR="0025665E" w:rsidRDefault="0025665E" w:rsidP="00944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E64C" w14:textId="77777777" w:rsidR="00944F7C" w:rsidRPr="00944F7C" w:rsidRDefault="00944F7C" w:rsidP="00944F7C">
    <w:pPr>
      <w:spacing w:line="276" w:lineRule="auto"/>
      <w:jc w:val="right"/>
      <w:rPr>
        <w:rFonts w:ascii="Times New Roman" w:hAnsi="Times New Roman" w:cs="Times New Roman"/>
      </w:rPr>
    </w:pPr>
    <w:r w:rsidRPr="00944F7C">
      <w:rPr>
        <w:rFonts w:ascii="Times New Roman" w:hAnsi="Times New Roman" w:cs="Times New Roman"/>
        <w:b/>
        <w:bCs/>
        <w:color w:val="990000"/>
      </w:rPr>
      <w:t>International Journal of Advanced Multidisciplinary Application | IJAMA</w:t>
    </w:r>
  </w:p>
  <w:p w14:paraId="4E97C41B" w14:textId="77777777" w:rsidR="00944F7C" w:rsidRPr="00944F7C" w:rsidRDefault="00944F7C" w:rsidP="00944F7C">
    <w:pPr>
      <w:spacing w:line="276" w:lineRule="auto"/>
      <w:jc w:val="right"/>
      <w:rPr>
        <w:rFonts w:ascii="Times New Roman" w:hAnsi="Times New Roman" w:cs="Times New Roman"/>
      </w:rPr>
    </w:pPr>
    <w:r w:rsidRPr="00944F7C">
      <w:rPr>
        <w:rFonts w:ascii="Times New Roman" w:hAnsi="Times New Roman" w:cs="Times New Roman"/>
        <w:b/>
        <w:bCs/>
        <w:color w:val="990000"/>
      </w:rPr>
      <w:t xml:space="preserve">                                                                                                    Volume 3 Issue 7 July 2026</w:t>
    </w:r>
  </w:p>
  <w:p w14:paraId="6F0FA7E1" w14:textId="78DD533A" w:rsidR="00944F7C" w:rsidRPr="00944F7C" w:rsidRDefault="00944F7C" w:rsidP="00944F7C">
    <w:pPr>
      <w:spacing w:line="276" w:lineRule="auto"/>
      <w:jc w:val="right"/>
      <w:rPr>
        <w:rFonts w:ascii="Times New Roman" w:hAnsi="Times New Roman" w:cs="Times New Roman"/>
      </w:rPr>
    </w:pPr>
    <w:r w:rsidRPr="00944F7C">
      <w:rPr>
        <w:rFonts w:ascii="Times New Roman" w:hAnsi="Times New Roman" w:cs="Times New Roman"/>
        <w:b/>
        <w:bCs/>
        <w:color w:val="990000"/>
      </w:rPr>
      <w:t xml:space="preserve">                                                                                                           ISSN No: 3048-9350</w:t>
    </w:r>
  </w:p>
  <w:p w14:paraId="1788068F" w14:textId="77777777" w:rsidR="00944F7C" w:rsidRPr="00944F7C" w:rsidRDefault="00944F7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746AE"/>
    <w:multiLevelType w:val="hybridMultilevel"/>
    <w:tmpl w:val="9A005F7A"/>
    <w:lvl w:ilvl="0" w:tplc="4470E2C4">
      <w:start w:val="1"/>
      <w:numFmt w:val="decimal"/>
      <w:lvlText w:val="%1."/>
      <w:lvlJc w:val="left"/>
      <w:pPr>
        <w:ind w:left="720" w:hanging="360"/>
      </w:pPr>
    </w:lvl>
    <w:lvl w:ilvl="1" w:tplc="1E367932">
      <w:numFmt w:val="decimal"/>
      <w:lvlText w:val=""/>
      <w:lvlJc w:val="left"/>
    </w:lvl>
    <w:lvl w:ilvl="2" w:tplc="FB660D32">
      <w:numFmt w:val="decimal"/>
      <w:lvlText w:val=""/>
      <w:lvlJc w:val="left"/>
    </w:lvl>
    <w:lvl w:ilvl="3" w:tplc="90A44682">
      <w:numFmt w:val="decimal"/>
      <w:lvlText w:val=""/>
      <w:lvlJc w:val="left"/>
    </w:lvl>
    <w:lvl w:ilvl="4" w:tplc="36281C86">
      <w:numFmt w:val="decimal"/>
      <w:lvlText w:val=""/>
      <w:lvlJc w:val="left"/>
    </w:lvl>
    <w:lvl w:ilvl="5" w:tplc="910AAA56">
      <w:numFmt w:val="decimal"/>
      <w:lvlText w:val=""/>
      <w:lvlJc w:val="left"/>
    </w:lvl>
    <w:lvl w:ilvl="6" w:tplc="4930146A">
      <w:numFmt w:val="decimal"/>
      <w:lvlText w:val=""/>
      <w:lvlJc w:val="left"/>
    </w:lvl>
    <w:lvl w:ilvl="7" w:tplc="80CA5712">
      <w:numFmt w:val="decimal"/>
      <w:lvlText w:val=""/>
      <w:lvlJc w:val="left"/>
    </w:lvl>
    <w:lvl w:ilvl="8" w:tplc="A78EA26A">
      <w:numFmt w:val="decimal"/>
      <w:lvlText w:val=""/>
      <w:lvlJc w:val="left"/>
    </w:lvl>
  </w:abstractNum>
  <w:abstractNum w:abstractNumId="1" w15:restartNumberingAfterBreak="0">
    <w:nsid w:val="43914444"/>
    <w:multiLevelType w:val="hybridMultilevel"/>
    <w:tmpl w:val="6D725136"/>
    <w:lvl w:ilvl="0" w:tplc="17AA3ABE">
      <w:start w:val="1"/>
      <w:numFmt w:val="bullet"/>
      <w:lvlText w:val="●"/>
      <w:lvlJc w:val="left"/>
      <w:pPr>
        <w:ind w:left="720" w:hanging="360"/>
      </w:pPr>
    </w:lvl>
    <w:lvl w:ilvl="1" w:tplc="DD7678C6">
      <w:start w:val="1"/>
      <w:numFmt w:val="bullet"/>
      <w:lvlText w:val="○"/>
      <w:lvlJc w:val="left"/>
      <w:pPr>
        <w:ind w:left="1440" w:hanging="360"/>
      </w:pPr>
    </w:lvl>
    <w:lvl w:ilvl="2" w:tplc="A002DAB2">
      <w:start w:val="1"/>
      <w:numFmt w:val="bullet"/>
      <w:lvlText w:val="■"/>
      <w:lvlJc w:val="left"/>
      <w:pPr>
        <w:ind w:left="2160" w:hanging="360"/>
      </w:pPr>
    </w:lvl>
    <w:lvl w:ilvl="3" w:tplc="9E4C5060">
      <w:start w:val="1"/>
      <w:numFmt w:val="bullet"/>
      <w:lvlText w:val="●"/>
      <w:lvlJc w:val="left"/>
      <w:pPr>
        <w:ind w:left="2880" w:hanging="360"/>
      </w:pPr>
    </w:lvl>
    <w:lvl w:ilvl="4" w:tplc="D9122774">
      <w:start w:val="1"/>
      <w:numFmt w:val="bullet"/>
      <w:lvlText w:val="○"/>
      <w:lvlJc w:val="left"/>
      <w:pPr>
        <w:ind w:left="3600" w:hanging="360"/>
      </w:pPr>
    </w:lvl>
    <w:lvl w:ilvl="5" w:tplc="E06AF188">
      <w:start w:val="1"/>
      <w:numFmt w:val="bullet"/>
      <w:lvlText w:val="■"/>
      <w:lvlJc w:val="left"/>
      <w:pPr>
        <w:ind w:left="4320" w:hanging="360"/>
      </w:pPr>
    </w:lvl>
    <w:lvl w:ilvl="6" w:tplc="733AD574">
      <w:start w:val="1"/>
      <w:numFmt w:val="bullet"/>
      <w:lvlText w:val="●"/>
      <w:lvlJc w:val="left"/>
      <w:pPr>
        <w:ind w:left="5040" w:hanging="360"/>
      </w:pPr>
    </w:lvl>
    <w:lvl w:ilvl="7" w:tplc="4DAE61AE">
      <w:start w:val="1"/>
      <w:numFmt w:val="bullet"/>
      <w:lvlText w:val="●"/>
      <w:lvlJc w:val="left"/>
      <w:pPr>
        <w:ind w:left="5760" w:hanging="360"/>
      </w:pPr>
    </w:lvl>
    <w:lvl w:ilvl="8" w:tplc="D116F9E8">
      <w:start w:val="1"/>
      <w:numFmt w:val="bullet"/>
      <w:lvlText w:val="●"/>
      <w:lvlJc w:val="left"/>
      <w:pPr>
        <w:ind w:left="6480" w:hanging="360"/>
      </w:pPr>
    </w:lvl>
  </w:abstractNum>
  <w:abstractNum w:abstractNumId="2" w15:restartNumberingAfterBreak="0">
    <w:nsid w:val="56FA6C64"/>
    <w:multiLevelType w:val="hybridMultilevel"/>
    <w:tmpl w:val="F5AC6E6A"/>
    <w:lvl w:ilvl="0" w:tplc="5EE025B8">
      <w:start w:val="1"/>
      <w:numFmt w:val="bullet"/>
      <w:lvlText w:val="•"/>
      <w:lvlJc w:val="left"/>
      <w:pPr>
        <w:ind w:left="720" w:hanging="360"/>
      </w:pPr>
    </w:lvl>
    <w:lvl w:ilvl="1" w:tplc="71507DB0">
      <w:numFmt w:val="decimal"/>
      <w:lvlText w:val=""/>
      <w:lvlJc w:val="left"/>
    </w:lvl>
    <w:lvl w:ilvl="2" w:tplc="536CE2C0">
      <w:numFmt w:val="decimal"/>
      <w:lvlText w:val=""/>
      <w:lvlJc w:val="left"/>
    </w:lvl>
    <w:lvl w:ilvl="3" w:tplc="5E3A6384">
      <w:numFmt w:val="decimal"/>
      <w:lvlText w:val=""/>
      <w:lvlJc w:val="left"/>
    </w:lvl>
    <w:lvl w:ilvl="4" w:tplc="1F42A6F8">
      <w:numFmt w:val="decimal"/>
      <w:lvlText w:val=""/>
      <w:lvlJc w:val="left"/>
    </w:lvl>
    <w:lvl w:ilvl="5" w:tplc="E7A42FF2">
      <w:numFmt w:val="decimal"/>
      <w:lvlText w:val=""/>
      <w:lvlJc w:val="left"/>
    </w:lvl>
    <w:lvl w:ilvl="6" w:tplc="D786E6E0">
      <w:numFmt w:val="decimal"/>
      <w:lvlText w:val=""/>
      <w:lvlJc w:val="left"/>
    </w:lvl>
    <w:lvl w:ilvl="7" w:tplc="E6922204">
      <w:numFmt w:val="decimal"/>
      <w:lvlText w:val=""/>
      <w:lvlJc w:val="left"/>
    </w:lvl>
    <w:lvl w:ilvl="8" w:tplc="7F64BEC2">
      <w:numFmt w:val="decimal"/>
      <w:lvlText w:val=""/>
      <w:lvlJc w:val="left"/>
    </w:lvl>
  </w:abstractNum>
  <w:num w:numId="1" w16cid:durableId="11061952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C8"/>
    <w:rsid w:val="0023431E"/>
    <w:rsid w:val="00255C55"/>
    <w:rsid w:val="0025665E"/>
    <w:rsid w:val="004620C8"/>
    <w:rsid w:val="004B064C"/>
    <w:rsid w:val="004C5315"/>
    <w:rsid w:val="00944F7C"/>
    <w:rsid w:val="00B236B6"/>
    <w:rsid w:val="00EE54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AF05"/>
  <w15:docId w15:val="{B1D143BA-FBDA-485B-B74A-B2EE56A2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2E4057"/>
      <w:sz w:val="28"/>
      <w:szCs w:val="28"/>
    </w:rPr>
  </w:style>
  <w:style w:type="paragraph" w:styleId="Heading2">
    <w:name w:val="heading 2"/>
    <w:uiPriority w:val="9"/>
    <w:unhideWhenUsed/>
    <w:qFormat/>
    <w:pPr>
      <w:spacing w:before="240" w:after="120"/>
      <w:outlineLvl w:val="1"/>
    </w:pPr>
    <w:rPr>
      <w:b/>
      <w:bCs/>
      <w:color w:val="048A81"/>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44F7C"/>
    <w:pPr>
      <w:tabs>
        <w:tab w:val="center" w:pos="4513"/>
        <w:tab w:val="right" w:pos="9026"/>
      </w:tabs>
    </w:pPr>
  </w:style>
  <w:style w:type="character" w:customStyle="1" w:styleId="HeaderChar">
    <w:name w:val="Header Char"/>
    <w:basedOn w:val="DefaultParagraphFont"/>
    <w:link w:val="Header"/>
    <w:uiPriority w:val="99"/>
    <w:rsid w:val="00944F7C"/>
  </w:style>
  <w:style w:type="paragraph" w:styleId="Footer">
    <w:name w:val="footer"/>
    <w:basedOn w:val="Normal"/>
    <w:link w:val="FooterChar"/>
    <w:uiPriority w:val="99"/>
    <w:unhideWhenUsed/>
    <w:rsid w:val="00944F7C"/>
    <w:pPr>
      <w:tabs>
        <w:tab w:val="center" w:pos="4513"/>
        <w:tab w:val="right" w:pos="9026"/>
      </w:tabs>
    </w:pPr>
  </w:style>
  <w:style w:type="character" w:customStyle="1" w:styleId="FooterChar">
    <w:name w:val="Footer Char"/>
    <w:basedOn w:val="DefaultParagraphFont"/>
    <w:link w:val="Footer"/>
    <w:uiPriority w:val="99"/>
    <w:rsid w:val="00944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ja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3238</Words>
  <Characters>18458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imunknow 6969</cp:lastModifiedBy>
  <cp:revision>4</cp:revision>
  <cp:lastPrinted>2026-06-23T13:31:00Z</cp:lastPrinted>
  <dcterms:created xsi:type="dcterms:W3CDTF">2026-06-23T13:31:00Z</dcterms:created>
  <dcterms:modified xsi:type="dcterms:W3CDTF">2026-07-11T14:13:00Z</dcterms:modified>
</cp:coreProperties>
</file>